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0" w:lineRule="atLeast"/>
        <w:ind w:left="0" w:right="0"/>
        <w:jc w:val="center"/>
      </w:pPr>
      <w:r>
        <w:rPr>
          <w:rFonts w:ascii="微软雅黑" w:hAnsi="微软雅黑" w:eastAsia="微软雅黑" w:cs="微软雅黑"/>
          <w:b w:val="0"/>
          <w:i w:val="0"/>
          <w:caps w:val="0"/>
          <w:color w:val="666666"/>
          <w:spacing w:val="8"/>
          <w:sz w:val="16"/>
          <w:szCs w:val="16"/>
          <w:bdr w:val="none" w:color="auto" w:sz="0" w:space="0"/>
        </w:rPr>
        <w:drawing>
          <wp:inline distT="0" distB="0" distL="114300" distR="114300">
            <wp:extent cx="5391150" cy="7620000"/>
            <wp:effectExtent l="0" t="0" r="3810" b="0"/>
            <wp:docPr id="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IMG_256"/>
                    <pic:cNvPicPr>
                      <a:picLocks noChangeAspect="1"/>
                    </pic:cNvPicPr>
                  </pic:nvPicPr>
                  <pic:blipFill>
                    <a:blip r:embed="rId4"/>
                    <a:stretch>
                      <a:fillRect/>
                    </a:stretch>
                  </pic:blipFill>
                  <pic:spPr>
                    <a:xfrm>
                      <a:off x="0" y="0"/>
                      <a:ext cx="5391150" cy="762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0" w:lineRule="atLeast"/>
        <w:ind w:left="0" w:right="0"/>
        <w:jc w:val="center"/>
      </w:pPr>
      <w:r>
        <w:rPr>
          <w:rFonts w:hint="eastAsia" w:ascii="微软雅黑" w:hAnsi="微软雅黑" w:eastAsia="微软雅黑" w:cs="微软雅黑"/>
          <w:b w:val="0"/>
          <w:i w:val="0"/>
          <w:caps w:val="0"/>
          <w:color w:val="666666"/>
          <w:spacing w:val="8"/>
          <w:sz w:val="16"/>
          <w:szCs w:val="16"/>
          <w:bdr w:val="none" w:color="auto" w:sz="0" w:space="0"/>
        </w:rPr>
        <w:drawing>
          <wp:inline distT="0" distB="0" distL="114300" distR="114300">
            <wp:extent cx="5391150" cy="7620000"/>
            <wp:effectExtent l="0" t="0" r="3810" b="0"/>
            <wp:docPr id="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IMG_257"/>
                    <pic:cNvPicPr>
                      <a:picLocks noChangeAspect="1"/>
                    </pic:cNvPicPr>
                  </pic:nvPicPr>
                  <pic:blipFill>
                    <a:blip r:embed="rId5"/>
                    <a:stretch>
                      <a:fillRect/>
                    </a:stretch>
                  </pic:blipFill>
                  <pic:spPr>
                    <a:xfrm>
                      <a:off x="0" y="0"/>
                      <a:ext cx="5391150" cy="762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0" w:lineRule="atLeast"/>
        <w:ind w:left="0" w:right="0"/>
        <w:jc w:val="center"/>
      </w:pPr>
      <w:r>
        <w:rPr>
          <w:rFonts w:hint="eastAsia" w:ascii="微软雅黑" w:hAnsi="微软雅黑" w:eastAsia="微软雅黑" w:cs="微软雅黑"/>
          <w:b w:val="0"/>
          <w:i w:val="0"/>
          <w:caps w:val="0"/>
          <w:color w:val="666666"/>
          <w:spacing w:val="8"/>
          <w:sz w:val="16"/>
          <w:szCs w:val="16"/>
          <w:bdr w:val="none" w:color="auto" w:sz="0" w:space="0"/>
        </w:rPr>
        <w:drawing>
          <wp:inline distT="0" distB="0" distL="114300" distR="114300">
            <wp:extent cx="5391150" cy="7620000"/>
            <wp:effectExtent l="0" t="0" r="3810" b="0"/>
            <wp:docPr id="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1"/>
                    </pic:cNvPicPr>
                  </pic:nvPicPr>
                  <pic:blipFill>
                    <a:blip r:embed="rId6"/>
                    <a:stretch>
                      <a:fillRect/>
                    </a:stretch>
                  </pic:blipFill>
                  <pic:spPr>
                    <a:xfrm>
                      <a:off x="0" y="0"/>
                      <a:ext cx="5391150" cy="762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0" w:lineRule="atLeast"/>
        <w:ind w:left="0" w:right="0"/>
        <w:jc w:val="center"/>
      </w:pPr>
      <w:r>
        <w:rPr>
          <w:rFonts w:hint="eastAsia" w:ascii="微软雅黑" w:hAnsi="微软雅黑" w:eastAsia="微软雅黑" w:cs="微软雅黑"/>
          <w:b w:val="0"/>
          <w:i w:val="0"/>
          <w:caps w:val="0"/>
          <w:color w:val="666666"/>
          <w:spacing w:val="8"/>
          <w:sz w:val="16"/>
          <w:szCs w:val="16"/>
          <w:bdr w:val="none" w:color="auto" w:sz="0" w:space="0"/>
        </w:rPr>
        <w:drawing>
          <wp:inline distT="0" distB="0" distL="114300" distR="114300">
            <wp:extent cx="5391150" cy="7620000"/>
            <wp:effectExtent l="0" t="0" r="3810" b="0"/>
            <wp:docPr id="8"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descr="IMG_259"/>
                    <pic:cNvPicPr>
                      <a:picLocks noChangeAspect="1"/>
                    </pic:cNvPicPr>
                  </pic:nvPicPr>
                  <pic:blipFill>
                    <a:blip r:embed="rId7"/>
                    <a:stretch>
                      <a:fillRect/>
                    </a:stretch>
                  </pic:blipFill>
                  <pic:spPr>
                    <a:xfrm>
                      <a:off x="0" y="0"/>
                      <a:ext cx="5391150" cy="76200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0" w:afterAutospacing="0" w:line="368" w:lineRule="atLeast"/>
        <w:ind w:left="0" w:right="0" w:firstLine="420"/>
        <w:jc w:val="left"/>
      </w:pPr>
      <w:r>
        <w:rPr>
          <w:rFonts w:hint="eastAsia" w:ascii="微软雅黑" w:hAnsi="微软雅黑" w:eastAsia="微软雅黑" w:cs="微软雅黑"/>
          <w:b w:val="0"/>
          <w:i w:val="0"/>
          <w:caps w:val="0"/>
          <w:color w:val="262626"/>
          <w:spacing w:val="7"/>
          <w:sz w:val="16"/>
          <w:szCs w:val="16"/>
          <w:bdr w:val="none" w:color="auto" w:sz="0" w:space="0"/>
        </w:rPr>
        <w:t>“中国高校创新创业教育联盟”于2015年6月11日在清华大学正式成立。联盟成员单位包括清华大学、北京大学、浙江大学、复旦大学、上海交通大学、南京大学、中国科技大学、哈尔滨工业大学、西安交通大学等186所高校和百度、阿里巴巴、腾讯、英特尔、微软等60余家创新型企业以及部分事业单位和社会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0" w:lineRule="atLeast"/>
        <w:ind w:left="0" w:right="0"/>
        <w:jc w:val="center"/>
      </w:pPr>
      <w:r>
        <w:rPr>
          <w:rFonts w:hint="eastAsia" w:ascii="微软雅黑" w:hAnsi="微软雅黑" w:eastAsia="微软雅黑" w:cs="微软雅黑"/>
          <w:b w:val="0"/>
          <w:i w:val="0"/>
          <w:caps w:val="0"/>
          <w:color w:val="666666"/>
          <w:spacing w:val="8"/>
          <w:sz w:val="16"/>
          <w:szCs w:val="16"/>
          <w:bdr w:val="none" w:color="auto" w:sz="0" w:space="0"/>
        </w:rPr>
        <w:drawing>
          <wp:inline distT="0" distB="0" distL="114300" distR="114300">
            <wp:extent cx="5334000" cy="3552825"/>
            <wp:effectExtent l="0" t="0" r="0" b="13335"/>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8"/>
                    <a:stretch>
                      <a:fillRect/>
                    </a:stretch>
                  </pic:blipFill>
                  <pic:spPr>
                    <a:xfrm>
                      <a:off x="0" y="0"/>
                      <a:ext cx="5334000" cy="35528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0" w:lineRule="atLeast"/>
        <w:ind w:left="0" w:right="0"/>
        <w:jc w:val="center"/>
      </w:pPr>
      <w:r>
        <w:rPr>
          <w:rFonts w:hint="eastAsia" w:ascii="微软雅黑" w:hAnsi="微软雅黑" w:eastAsia="微软雅黑" w:cs="微软雅黑"/>
          <w:b w:val="0"/>
          <w:i w:val="0"/>
          <w:caps w:val="0"/>
          <w:color w:val="666666"/>
          <w:spacing w:val="8"/>
          <w:sz w:val="16"/>
          <w:szCs w:val="16"/>
          <w:bdr w:val="none" w:color="auto" w:sz="0" w:space="0"/>
        </w:rPr>
        <w:drawing>
          <wp:inline distT="0" distB="0" distL="114300" distR="114300">
            <wp:extent cx="5334000" cy="3438525"/>
            <wp:effectExtent l="0" t="0" r="0" b="5715"/>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9"/>
                    <a:stretch>
                      <a:fillRect/>
                    </a:stretch>
                  </pic:blipFill>
                  <pic:spPr>
                    <a:xfrm>
                      <a:off x="0" y="0"/>
                      <a:ext cx="5334000" cy="3438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840" w:afterAutospacing="0" w:line="368" w:lineRule="atLeast"/>
        <w:ind w:left="0" w:right="0" w:firstLine="420"/>
        <w:jc w:val="both"/>
        <w:rPr>
          <w:rFonts w:hint="eastAsia" w:ascii="微软雅黑" w:hAnsi="微软雅黑" w:eastAsia="微软雅黑" w:cs="微软雅黑"/>
          <w:b w:val="0"/>
          <w:i w:val="0"/>
          <w:caps w:val="0"/>
          <w:color w:val="262626"/>
          <w:spacing w:val="7"/>
          <w:sz w:val="16"/>
          <w:szCs w:val="16"/>
          <w:bdr w:val="none" w:color="auto" w:sz="0" w:space="0"/>
        </w:rPr>
      </w:pPr>
      <w:r>
        <w:rPr>
          <w:rFonts w:hint="eastAsia" w:ascii="微软雅黑" w:hAnsi="微软雅黑" w:eastAsia="微软雅黑" w:cs="微软雅黑"/>
          <w:b w:val="0"/>
          <w:i w:val="0"/>
          <w:caps w:val="0"/>
          <w:color w:val="262626"/>
          <w:spacing w:val="7"/>
          <w:sz w:val="16"/>
          <w:szCs w:val="16"/>
          <w:bdr w:val="none" w:color="auto" w:sz="0" w:space="0"/>
        </w:rPr>
        <w:t>“百城千校”计划于 2017年6月24日在首届年会启动， 以“加强校校、校企合作，深化高校创新创业教育改革，为培养具有创新思维和能力的创业者、为建设创新型国家和人才强国战略服务。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840" w:afterAutospacing="0" w:line="368" w:lineRule="atLeast"/>
        <w:ind w:left="0" w:right="0" w:firstLine="420"/>
        <w:jc w:val="both"/>
      </w:pPr>
      <w:r>
        <w:rPr>
          <w:rStyle w:val="4"/>
          <w:rFonts w:hint="eastAsia" w:ascii="微软雅黑" w:hAnsi="微软雅黑" w:eastAsia="微软雅黑" w:cs="微软雅黑"/>
          <w:i w:val="0"/>
          <w:caps w:val="0"/>
          <w:color w:val="666666"/>
          <w:spacing w:val="8"/>
          <w:sz w:val="21"/>
          <w:szCs w:val="21"/>
          <w:bdr w:val="none" w:color="auto" w:sz="0" w:space="0"/>
        </w:rPr>
        <w:t>实施计划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00" w:afterAutospacing="0" w:line="420" w:lineRule="atLeast"/>
        <w:ind w:left="0" w:right="0" w:firstLine="420"/>
        <w:jc w:val="both"/>
        <w:rPr>
          <w:rFonts w:hint="eastAsia" w:ascii="微软雅黑" w:hAnsi="微软雅黑" w:eastAsia="微软雅黑" w:cs="微软雅黑"/>
          <w:color w:val="696969"/>
          <w:spacing w:val="7"/>
        </w:rPr>
      </w:pPr>
      <w:r>
        <w:rPr>
          <w:rFonts w:hint="eastAsia" w:ascii="微软雅黑" w:hAnsi="微软雅黑" w:eastAsia="微软雅黑" w:cs="微软雅黑"/>
          <w:b w:val="0"/>
          <w:i w:val="0"/>
          <w:caps w:val="0"/>
          <w:color w:val="262626"/>
          <w:spacing w:val="7"/>
          <w:sz w:val="16"/>
          <w:szCs w:val="16"/>
          <w:bdr w:val="none" w:color="auto" w:sz="0" w:space="0"/>
        </w:rPr>
        <w:t>计划全面覆盖从校内教育教学、校内外资源对接、校外项目落地三个维度，构筑创新创业人才培养新模式。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0" w:lineRule="atLeast"/>
        <w:ind w:left="0" w:right="0"/>
        <w:jc w:val="center"/>
      </w:pPr>
      <w:r>
        <w:rPr>
          <w:rFonts w:hint="eastAsia" w:ascii="微软雅黑" w:hAnsi="微软雅黑" w:eastAsia="微软雅黑" w:cs="微软雅黑"/>
          <w:b w:val="0"/>
          <w:i w:val="0"/>
          <w:caps w:val="0"/>
          <w:color w:val="666666"/>
          <w:spacing w:val="8"/>
          <w:sz w:val="16"/>
          <w:szCs w:val="16"/>
          <w:bdr w:val="none" w:color="auto" w:sz="0" w:space="0"/>
        </w:rPr>
        <w:drawing>
          <wp:inline distT="0" distB="0" distL="114300" distR="114300">
            <wp:extent cx="5334000" cy="3238500"/>
            <wp:effectExtent l="0" t="0" r="0" b="762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5334000" cy="3238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0" w:lineRule="atLeast"/>
        <w:ind w:left="0" w:right="0" w:firstLine="0"/>
        <w:jc w:val="left"/>
        <w:rPr>
          <w:rFonts w:hint="eastAsia" w:ascii="微软雅黑" w:hAnsi="微软雅黑" w:eastAsia="微软雅黑" w:cs="微软雅黑"/>
          <w:b w:val="0"/>
          <w:i w:val="0"/>
          <w:caps w:val="0"/>
          <w:color w:val="666666"/>
          <w:spacing w:val="8"/>
          <w:sz w:val="16"/>
          <w:szCs w:val="16"/>
        </w:rPr>
      </w:pPr>
      <w:r>
        <w:rPr>
          <w:rStyle w:val="4"/>
          <w:rFonts w:hint="eastAsia" w:ascii="微软雅黑" w:hAnsi="微软雅黑" w:eastAsia="微软雅黑" w:cs="微软雅黑"/>
          <w:i w:val="0"/>
          <w:caps w:val="0"/>
          <w:color w:val="666666"/>
          <w:spacing w:val="8"/>
          <w:kern w:val="0"/>
          <w:sz w:val="21"/>
          <w:szCs w:val="21"/>
          <w:bdr w:val="none" w:color="auto" w:sz="0" w:space="0"/>
          <w:lang w:val="en-US" w:eastAsia="zh-CN" w:bidi="ar"/>
        </w:rPr>
        <w:t>第一阶段：打造示范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0" w:afterAutospacing="0" w:line="368" w:lineRule="atLeast"/>
        <w:ind w:left="0" w:right="0" w:firstLine="420"/>
        <w:jc w:val="both"/>
        <w:rPr>
          <w:rFonts w:hint="eastAsia" w:ascii="微软雅黑" w:hAnsi="微软雅黑" w:eastAsia="微软雅黑" w:cs="微软雅黑"/>
          <w:color w:val="696969"/>
          <w:spacing w:val="7"/>
        </w:rPr>
      </w:pPr>
      <w:r>
        <w:rPr>
          <w:rFonts w:hint="eastAsia" w:ascii="微软雅黑" w:hAnsi="微软雅黑" w:eastAsia="微软雅黑" w:cs="微软雅黑"/>
          <w:b w:val="0"/>
          <w:i w:val="0"/>
          <w:caps w:val="0"/>
          <w:color w:val="262626"/>
          <w:spacing w:val="7"/>
          <w:sz w:val="16"/>
          <w:szCs w:val="16"/>
          <w:bdr w:val="none" w:color="auto" w:sz="0" w:space="0"/>
        </w:rPr>
        <w:t>当前，我国高校创新创业教育水平参差不齐，许多高校在双创教学实践中未经消化直接照搬或借用外国早期研究成果。然而，这些“拿来主义”在当地教学的通识性、先进性和实用性等方面还尚存争议。明晰符合当今国际市场趋势变化、适应国内产业快速发展背景、契合我国创新创业现实特点与需求、并且符合当代大学生学习习惯、建立真正有效的创新创业教育教学维度与体系，是当下我国高校创新创业教育工作的迫切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8" w:lineRule="atLeast"/>
        <w:ind w:left="0" w:right="0" w:firstLine="420"/>
        <w:jc w:val="both"/>
        <w:rPr>
          <w:rFonts w:hint="eastAsia" w:ascii="微软雅黑" w:hAnsi="微软雅黑" w:eastAsia="微软雅黑" w:cs="微软雅黑"/>
          <w:color w:val="696969"/>
          <w:spacing w:val="7"/>
        </w:rPr>
      </w:pPr>
      <w:r>
        <w:rPr>
          <w:rFonts w:hint="eastAsia" w:ascii="微软雅黑" w:hAnsi="微软雅黑" w:eastAsia="微软雅黑" w:cs="微软雅黑"/>
          <w:b w:val="0"/>
          <w:i w:val="0"/>
          <w:caps w:val="0"/>
          <w:color w:val="262626"/>
          <w:spacing w:val="7"/>
          <w:sz w:val="16"/>
          <w:szCs w:val="16"/>
          <w:bdr w:val="none" w:color="auto" w:sz="0" w:space="0"/>
        </w:rPr>
        <w:t>因此，创新创业教育“百城千校计划”的第一阶段已于2017年全面启动。“计划”将依托“联盟”在高校创新创业教育上的平台优势以及清华大学在创新创业教育领域的研究成果，举办系列研讨活动，并组织专家学者进行深入研究。“计划”将深入高校考察调研，提炼出创新课程、师资建设、实训系统、资源引入、孵化引导等多个维度框架。在2018年年挖掘和选拨出首批创新创业教育基础储备较好、具有一定特色与亮点的高等教育院校与企业，作为首批百城千校计划试点高校与支持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0" w:lineRule="atLeast"/>
        <w:ind w:left="210" w:right="210"/>
        <w:jc w:val="left"/>
      </w:pPr>
      <w:r>
        <w:rPr>
          <w:rStyle w:val="4"/>
          <w:rFonts w:hint="eastAsia" w:ascii="微软雅黑" w:hAnsi="微软雅黑" w:eastAsia="微软雅黑" w:cs="微软雅黑"/>
          <w:i w:val="0"/>
          <w:caps w:val="0"/>
          <w:color w:val="666666"/>
          <w:spacing w:val="8"/>
          <w:sz w:val="21"/>
          <w:szCs w:val="21"/>
          <w:bdr w:val="none" w:color="auto" w:sz="0" w:space="0"/>
        </w:rPr>
        <w:t>第二阶段 推广应用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0" w:afterAutospacing="0" w:line="368" w:lineRule="atLeast"/>
        <w:ind w:left="0" w:right="0" w:firstLine="420"/>
        <w:jc w:val="both"/>
        <w:rPr>
          <w:rFonts w:hint="eastAsia" w:ascii="微软雅黑" w:hAnsi="微软雅黑" w:eastAsia="微软雅黑" w:cs="微软雅黑"/>
          <w:color w:val="696969"/>
          <w:spacing w:val="7"/>
        </w:rPr>
      </w:pPr>
      <w:r>
        <w:rPr>
          <w:rFonts w:hint="eastAsia" w:ascii="微软雅黑" w:hAnsi="微软雅黑" w:eastAsia="微软雅黑" w:cs="微软雅黑"/>
          <w:b w:val="0"/>
          <w:i w:val="0"/>
          <w:caps w:val="0"/>
          <w:color w:val="262626"/>
          <w:spacing w:val="7"/>
          <w:sz w:val="16"/>
          <w:szCs w:val="16"/>
          <w:bdr w:val="none" w:color="auto" w:sz="0" w:space="0"/>
        </w:rPr>
        <w:t>深入全国高校进行创新创业教育工作的帮助和扶持，是“计划”深化高校教育改革、引导全国高校创新创业教育整体水平提升的重要举措，这将贯穿于整个“计划”始终，并将连续推进。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0" w:afterAutospacing="0" w:line="368" w:lineRule="atLeast"/>
        <w:ind w:left="0" w:right="0" w:firstLine="420"/>
        <w:jc w:val="both"/>
        <w:rPr>
          <w:rFonts w:hint="eastAsia" w:ascii="微软雅黑" w:hAnsi="微软雅黑" w:eastAsia="微软雅黑" w:cs="微软雅黑"/>
          <w:color w:val="696969"/>
          <w:spacing w:val="7"/>
        </w:rPr>
      </w:pPr>
      <w:r>
        <w:rPr>
          <w:rFonts w:hint="eastAsia" w:ascii="微软雅黑" w:hAnsi="微软雅黑" w:eastAsia="微软雅黑" w:cs="微软雅黑"/>
          <w:b w:val="0"/>
          <w:i w:val="0"/>
          <w:caps w:val="0"/>
          <w:color w:val="262626"/>
          <w:spacing w:val="7"/>
          <w:sz w:val="16"/>
          <w:szCs w:val="16"/>
          <w:bdr w:val="none" w:color="auto" w:sz="0" w:space="0"/>
        </w:rPr>
        <w:t>因此，创新创业教育“百城千校计划”的第二阶段将于2019年开展，预计覆盖20-50座城市，覆盖院校数量超过100所，影响学生人数超过100万人。2019年将继续“计划”的实施，进一步深化“计划”的帮扶和带动效果。预计2020年全面参与城市将达到100个，参与院校将达到1000所。为稳固和推广在首批样板院校中展现出实力和潜力的院校，“计划”将协助其针对特定的细分维度进行深入研究和打磨，力争在多个维度形成一批具有国际专业水平、契合国情学情、落地化程度高的产教融合创新创业教育精品模式。通过直接帮扶和间接带动，尤其是对重点帮扶院校的精品打磨，通过评价、表彰与奖励，最终从政府、企业、高校凸显出一批具有明星效应的标杆样板，充分展现“计划”的标志性形象，展现其蕴含的独特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0" w:lineRule="atLeast"/>
        <w:ind w:left="0" w:right="0"/>
        <w:jc w:val="center"/>
      </w:pPr>
      <w:r>
        <w:rPr>
          <w:rFonts w:hint="eastAsia" w:ascii="微软雅黑" w:hAnsi="微软雅黑" w:eastAsia="微软雅黑" w:cs="微软雅黑"/>
          <w:b w:val="0"/>
          <w:i w:val="0"/>
          <w:caps w:val="0"/>
          <w:color w:val="666666"/>
          <w:spacing w:val="8"/>
          <w:sz w:val="16"/>
          <w:szCs w:val="16"/>
          <w:bdr w:val="none" w:color="auto" w:sz="0" w:space="0"/>
        </w:rPr>
        <w:drawing>
          <wp:inline distT="0" distB="0" distL="114300" distR="114300">
            <wp:extent cx="5334000" cy="2505075"/>
            <wp:effectExtent l="0" t="0" r="0" b="9525"/>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11"/>
                    <a:stretch>
                      <a:fillRect/>
                    </a:stretch>
                  </pic:blipFill>
                  <pic:spPr>
                    <a:xfrm>
                      <a:off x="0" y="0"/>
                      <a:ext cx="5334000" cy="2505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0" w:afterAutospacing="0" w:line="368" w:lineRule="atLeast"/>
        <w:ind w:left="0" w:right="0" w:firstLine="420"/>
        <w:jc w:val="both"/>
        <w:rPr>
          <w:rFonts w:hint="eastAsia" w:ascii="微软雅黑" w:hAnsi="微软雅黑" w:eastAsia="微软雅黑" w:cs="微软雅黑"/>
          <w:b w:val="0"/>
          <w:i w:val="0"/>
          <w:caps w:val="0"/>
          <w:color w:val="262626"/>
          <w:spacing w:val="7"/>
          <w:sz w:val="16"/>
          <w:szCs w:val="16"/>
          <w:bdr w:val="none" w:color="auto" w:sz="0" w:space="0"/>
        </w:rPr>
      </w:pPr>
      <w:r>
        <w:rPr>
          <w:rFonts w:hint="eastAsia" w:ascii="微软雅黑" w:hAnsi="微软雅黑" w:eastAsia="微软雅黑" w:cs="微软雅黑"/>
          <w:b w:val="0"/>
          <w:i w:val="0"/>
          <w:caps w:val="0"/>
          <w:color w:val="262626"/>
          <w:spacing w:val="7"/>
          <w:sz w:val="16"/>
          <w:szCs w:val="16"/>
          <w:bdr w:val="none" w:color="auto" w:sz="0" w:space="0"/>
        </w:rPr>
        <w:t>“计划”将结合中国高校创新创业教育联盟多项主题活动、配合中国“互联网+”大学生创新创业大赛、“京津冀-粤港澳”（国际）青年创新创业大赛等国家级赛事，联合主流媒体以多种形式进行宣传。随着“计划”的深入开展，将设立一批以产教融合为核心的双创教育的课题、论著及出版物、相关教学平台、教学资源等的成果产出，大量创新人才涌现、高校研究方向与产业需求导向紧密结合，创新型创业项目的大量孵化。这些成果将会随着“计划”的进一步实施，继续深入到我国六百多个城市、两千九百多所高校，“反哺”四千万在校师生，两亿多新时代年青人，使其受益于双创教育的累累硕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960" w:afterAutospacing="0" w:line="368" w:lineRule="atLeast"/>
        <w:ind w:left="0" w:right="0" w:firstLine="420"/>
        <w:jc w:val="both"/>
        <w:rPr>
          <w:rFonts w:hint="eastAsia" w:ascii="微软雅黑" w:hAnsi="微软雅黑" w:eastAsia="微软雅黑" w:cs="微软雅黑"/>
          <w:color w:val="595959"/>
          <w:spacing w:val="7"/>
        </w:rPr>
      </w:pPr>
      <w:r>
        <w:rPr>
          <w:rFonts w:hint="eastAsia" w:ascii="微软雅黑" w:hAnsi="微软雅黑" w:eastAsia="微软雅黑" w:cs="微软雅黑"/>
          <w:b w:val="0"/>
          <w:i w:val="0"/>
          <w:caps w:val="0"/>
          <w:color w:val="595959"/>
          <w:spacing w:val="7"/>
          <w:sz w:val="16"/>
          <w:szCs w:val="16"/>
          <w:bdr w:val="none" w:color="auto" w:sz="0" w:space="0"/>
        </w:rPr>
        <w:t>申请表下载链接:</w:t>
      </w:r>
      <w:r>
        <w:rPr>
          <w:rFonts w:hint="eastAsia" w:ascii="微软雅黑" w:hAnsi="微软雅黑" w:eastAsia="微软雅黑" w:cs="微软雅黑"/>
          <w:b w:val="0"/>
          <w:i w:val="0"/>
          <w:caps w:val="0"/>
          <w:color w:val="000000"/>
          <w:spacing w:val="7"/>
          <w:sz w:val="16"/>
          <w:szCs w:val="16"/>
          <w:u w:val="none"/>
          <w:bdr w:val="none" w:color="auto" w:sz="0" w:space="0"/>
        </w:rPr>
        <w:fldChar w:fldCharType="begin"/>
      </w:r>
      <w:r>
        <w:rPr>
          <w:rFonts w:hint="eastAsia" w:ascii="微软雅黑" w:hAnsi="微软雅黑" w:eastAsia="微软雅黑" w:cs="微软雅黑"/>
          <w:b w:val="0"/>
          <w:i w:val="0"/>
          <w:caps w:val="0"/>
          <w:color w:val="000000"/>
          <w:spacing w:val="7"/>
          <w:sz w:val="16"/>
          <w:szCs w:val="16"/>
          <w:u w:val="none"/>
          <w:bdr w:val="none" w:color="auto" w:sz="0" w:space="0"/>
        </w:rPr>
        <w:instrText xml:space="preserve"> HYPERLINK "https://pan.baidu.com/s/1zGrzgjILrLmAOtM0ymeIPQ" \t "http://www.ieeac2015.org.cn/p/34/20180524/_self" </w:instrText>
      </w:r>
      <w:r>
        <w:rPr>
          <w:rFonts w:hint="eastAsia" w:ascii="微软雅黑" w:hAnsi="微软雅黑" w:eastAsia="微软雅黑" w:cs="微软雅黑"/>
          <w:b w:val="0"/>
          <w:i w:val="0"/>
          <w:caps w:val="0"/>
          <w:color w:val="000000"/>
          <w:spacing w:val="7"/>
          <w:sz w:val="16"/>
          <w:szCs w:val="16"/>
          <w:u w:val="none"/>
          <w:bdr w:val="none" w:color="auto" w:sz="0" w:space="0"/>
        </w:rPr>
        <w:fldChar w:fldCharType="separate"/>
      </w:r>
      <w:r>
        <w:rPr>
          <w:rStyle w:val="5"/>
          <w:rFonts w:hint="eastAsia" w:ascii="微软雅黑" w:hAnsi="微软雅黑" w:eastAsia="微软雅黑" w:cs="微软雅黑"/>
          <w:b w:val="0"/>
          <w:i w:val="0"/>
          <w:caps w:val="0"/>
          <w:color w:val="000000"/>
          <w:spacing w:val="7"/>
          <w:sz w:val="16"/>
          <w:szCs w:val="16"/>
          <w:u w:val="none"/>
          <w:bdr w:val="none" w:color="auto" w:sz="0" w:space="0"/>
        </w:rPr>
        <w:t>https://pan.baidu.com/s/1zGrzgjILrLmAOtM0ymeIPQ</w:t>
      </w:r>
      <w:r>
        <w:rPr>
          <w:rFonts w:hint="eastAsia" w:ascii="微软雅黑" w:hAnsi="微软雅黑" w:eastAsia="微软雅黑" w:cs="微软雅黑"/>
          <w:b w:val="0"/>
          <w:i w:val="0"/>
          <w:caps w:val="0"/>
          <w:color w:val="000000"/>
          <w:spacing w:val="7"/>
          <w:sz w:val="16"/>
          <w:szCs w:val="16"/>
          <w:u w:val="none"/>
          <w:bdr w:val="none" w:color="auto" w:sz="0" w:space="0"/>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0" w:afterAutospacing="0" w:line="368" w:lineRule="atLeast"/>
        <w:ind w:left="0" w:right="0" w:firstLine="420"/>
        <w:jc w:val="both"/>
        <w:rPr>
          <w:rFonts w:hint="eastAsia" w:ascii="微软雅黑" w:hAnsi="微软雅黑" w:eastAsia="微软雅黑" w:cs="微软雅黑"/>
          <w:color w:val="595959"/>
          <w:spacing w:val="7"/>
        </w:rPr>
      </w:pPr>
      <w:r>
        <w:rPr>
          <w:rFonts w:hint="eastAsia" w:ascii="微软雅黑" w:hAnsi="微软雅黑" w:eastAsia="微软雅黑" w:cs="微软雅黑"/>
          <w:b w:val="0"/>
          <w:i w:val="0"/>
          <w:caps w:val="0"/>
          <w:color w:val="595959"/>
          <w:spacing w:val="7"/>
          <w:sz w:val="16"/>
          <w:szCs w:val="16"/>
          <w:bdr w:val="none" w:color="auto" w:sz="0" w:space="0"/>
        </w:rPr>
        <w:t>密码: z69v</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jc w:val="cente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9768BE"/>
    <w:rsid w:val="059768B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v\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2018-08-10T04:19:00Z</dcterms:created>
  <dc:creator>孙 艳</dc:creator>
  <cp:lastModifiedBy>孙 艳</cp:lastModifiedBy>
  <dcterms:modified xsi:type="dcterms:W3CDTF">2018-08-10T04:21:14Z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